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Τροποποίηση απόφασης περί «Διαδικασίας διενέργειας εξετάσεων θεωρητικών γνώσεων για την απόκτηση πτυχίων χειριστών ιδιωτικών αεροπλάνων και ελικοπτέρων κατά  </w:t>
      </w:r>
      <w:r>
        <w:rPr>
          <w:rFonts w:ascii="Tahoma" w:hAnsi="Tahoma" w:cs="Tahoma"/>
          <w:b/>
          <w:bCs/>
          <w:sz w:val="20"/>
          <w:szCs w:val="20"/>
          <w:lang w:val="en-US"/>
        </w:rPr>
        <w:t>PART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FCL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000000" w:rsidRDefault="00B97FDD">
      <w:pPr>
        <w:tabs>
          <w:tab w:val="left" w:pos="720"/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Cs w:val="20"/>
          <w:lang w:val="en-US"/>
        </w:rPr>
        <w:t>A</w:t>
      </w:r>
      <w:r>
        <w:rPr>
          <w:rFonts w:ascii="Tahoma" w:hAnsi="Tahoma" w:cs="Tahoma"/>
          <w:b/>
          <w:bCs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Οι γραπτές εξετάσεις των θεωρητικών γνώσεων για την απόκτηση πτυχίου Πολιτικής Αερο</w:t>
      </w:r>
      <w:r>
        <w:rPr>
          <w:rFonts w:ascii="Tahoma" w:hAnsi="Tahoma" w:cs="Tahoma"/>
          <w:bCs/>
          <w:sz w:val="20"/>
          <w:szCs w:val="20"/>
        </w:rPr>
        <w:t xml:space="preserve">πορίας χειριστή Ιδιωτικών Αεροπλάνων και Ελικοπτέρων κατά </w:t>
      </w:r>
      <w:r>
        <w:rPr>
          <w:rFonts w:ascii="Tahoma" w:hAnsi="Tahoma" w:cs="Tahoma"/>
          <w:bCs/>
          <w:sz w:val="20"/>
          <w:szCs w:val="20"/>
          <w:lang w:val="en-US"/>
        </w:rPr>
        <w:t>PART</w:t>
      </w:r>
      <w:r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  <w:lang w:val="en-US"/>
        </w:rPr>
        <w:t>FCL</w:t>
      </w:r>
      <w:r>
        <w:rPr>
          <w:rFonts w:ascii="Tahoma" w:hAnsi="Tahoma" w:cs="Tahoma"/>
          <w:bCs/>
          <w:sz w:val="20"/>
          <w:szCs w:val="20"/>
        </w:rPr>
        <w:t xml:space="preserve"> 1 &amp; 2 διενεργούνται κάθε μήνα, με μηχανογραφημένο σύστημα στην Ελληνική ή Αγγλική γλώσσα, με επιλογή της γλώσσας από τους υποψηφίους, εκτός από την εξέταση στο γνωστικό αντικείμενο «Επικοιν</w:t>
      </w:r>
      <w:r>
        <w:rPr>
          <w:rFonts w:ascii="Tahoma" w:hAnsi="Tahoma" w:cs="Tahoma"/>
          <w:bCs/>
          <w:sz w:val="20"/>
          <w:szCs w:val="20"/>
        </w:rPr>
        <w:t>ωνίες», η οποία γίνεται μόνο στην Αγγλική γλώσσα.</w:t>
      </w: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</w:t>
      </w: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Cs w:val="20"/>
          <w:lang w:val="en-US"/>
        </w:rPr>
        <w:t>B</w:t>
      </w:r>
      <w:r>
        <w:rPr>
          <w:rFonts w:ascii="Tahoma" w:hAnsi="Tahoma" w:cs="Tahoma"/>
          <w:b/>
          <w:bCs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Η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χρονική διάρκεια εκάστης εξεταστικής περιόδου των γραπτών εξετάσεων ορίζεται σε μία ή δύο ημέρες, κατά την οποία ο υποψήφιος εξετάζεται στα παρακάτω γνωστικά αντικείμενα:</w:t>
      </w: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</w:t>
      </w:r>
    </w:p>
    <w:tbl>
      <w:tblPr>
        <w:tblW w:w="841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1"/>
        <w:gridCol w:w="2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spacing w:line="240" w:lineRule="exact"/>
              <w:ind w:left="0"/>
              <w:jc w:val="center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Αντικείμενο</w:t>
            </w:r>
          </w:p>
        </w:tc>
        <w:tc>
          <w:tcPr>
            <w:tcW w:w="20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spacing w:line="240" w:lineRule="exact"/>
              <w:ind w:left="0"/>
              <w:jc w:val="center"/>
              <w:rPr>
                <w:rFonts w:ascii="Tahoma" w:hAnsi="Tahoma" w:cs="Tahoma"/>
                <w:b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Διάρκεια</w:t>
            </w:r>
          </w:p>
          <w:p w:rsidR="00000000" w:rsidRDefault="00B97FDD">
            <w:pPr>
              <w:pStyle w:val="a4"/>
              <w:spacing w:line="240" w:lineRule="exact"/>
              <w:ind w:left="0"/>
              <w:jc w:val="center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Εξέτα</w:t>
            </w: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σης(αριθμ. Ερωτ.)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Νομοθεσία Πολιτικής Αεροπορίας και Διαδικασίες ATC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18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 (16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Γενικές Τεχνικές Αεροπορικές Γνώσεις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25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 (12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Επιδόσεις και Σχεδιασμός Πτήσης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36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λεπ(12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Ανθρώπινες Δυνατότητες και Περιορισμοί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12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λεπ(12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Μετε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>ωρολογία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16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λεπ(16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Αεροναυτιλία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48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λεπ(16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Διαδικασίες Πτητικής Λειτουργίας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13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λεπ(12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Βασικές Αρχές Πτήσης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36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</w:t>
            </w:r>
            <w:bookmarkStart w:id="0" w:name="OLE_LINK2"/>
            <w:r>
              <w:rPr>
                <w:rFonts w:ascii="Tahoma" w:hAnsi="Tahoma" w:cs="Tahoma"/>
                <w:w w:val="80"/>
                <w:sz w:val="20"/>
                <w:szCs w:val="20"/>
              </w:rPr>
              <w:t>(12 ερωτ)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284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>Επικοινωνίες</w:t>
            </w:r>
          </w:p>
        </w:tc>
        <w:tc>
          <w:tcPr>
            <w:tcW w:w="206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12</w:t>
            </w:r>
            <w:r>
              <w:rPr>
                <w:rFonts w:ascii="Tahoma" w:hAnsi="Tahoma" w:cs="Tahoma"/>
                <w:w w:val="80"/>
                <w:sz w:val="20"/>
                <w:szCs w:val="20"/>
              </w:rPr>
              <w:tab/>
              <w:t>λεπ(12 ερωτ)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00000" w:rsidRDefault="00B97FDD">
            <w:pPr>
              <w:pStyle w:val="a4"/>
              <w:ind w:left="0" w:right="215"/>
              <w:jc w:val="right"/>
              <w:rPr>
                <w:rFonts w:ascii="Tahoma" w:hAnsi="Tahoma" w:cs="Tahoma"/>
                <w:b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Σύνολο:</w:t>
            </w:r>
          </w:p>
        </w:tc>
        <w:tc>
          <w:tcPr>
            <w:tcW w:w="206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B97FDD">
            <w:pPr>
              <w:pStyle w:val="a4"/>
              <w:tabs>
                <w:tab w:val="right" w:pos="562"/>
                <w:tab w:val="left" w:pos="703"/>
                <w:tab w:val="left" w:pos="1412"/>
              </w:tabs>
              <w:ind w:left="0"/>
              <w:rPr>
                <w:rFonts w:ascii="Tahoma" w:hAnsi="Tahoma" w:cs="Tahoma"/>
                <w:b/>
                <w:w w:val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>216</w:t>
            </w:r>
            <w:r>
              <w:rPr>
                <w:rFonts w:ascii="Tahoma" w:hAnsi="Tahoma" w:cs="Tahoma"/>
                <w:b/>
                <w:w w:val="80"/>
                <w:sz w:val="20"/>
                <w:szCs w:val="20"/>
              </w:rPr>
              <w:tab/>
              <w:t xml:space="preserve"> λεπ   (120 ερωτ)</w:t>
            </w:r>
          </w:p>
        </w:tc>
      </w:tr>
    </w:tbl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Στην διάρκεια εκάστης εξεταστικής περιόδου (</w:t>
      </w:r>
      <w:r>
        <w:rPr>
          <w:rFonts w:ascii="Tahoma" w:hAnsi="Tahoma" w:cs="Tahoma"/>
          <w:sz w:val="20"/>
          <w:szCs w:val="20"/>
          <w:lang w:val="en-US"/>
        </w:rPr>
        <w:t>sitting</w:t>
      </w:r>
      <w:r>
        <w:rPr>
          <w:rFonts w:ascii="Tahoma" w:hAnsi="Tahoma" w:cs="Tahoma"/>
          <w:sz w:val="20"/>
          <w:szCs w:val="20"/>
        </w:rPr>
        <w:t xml:space="preserve">) ο υποψήφιος έχει δικαίωμα να εξετασθεί </w:t>
      </w:r>
      <w:r>
        <w:rPr>
          <w:rFonts w:ascii="Tahoma" w:hAnsi="Tahoma" w:cs="Tahoma"/>
          <w:b/>
          <w:bCs/>
          <w:sz w:val="20"/>
          <w:szCs w:val="20"/>
        </w:rPr>
        <w:t>μια φορά σε όποιο ή όποια γνωστικά αντικείμενα επιθυμεί</w:t>
      </w:r>
      <w:r>
        <w:rPr>
          <w:rFonts w:ascii="Tahoma" w:hAnsi="Tahoma" w:cs="Tahoma"/>
          <w:sz w:val="20"/>
          <w:szCs w:val="20"/>
        </w:rPr>
        <w:t xml:space="preserve">, πρέπει δε, για να πάρει το  πτυχίο του, να ολοκληρώσει με επιτυχία την εξέταση όλων των γνωστικών αντικειμένων, </w:t>
      </w:r>
      <w:r>
        <w:rPr>
          <w:rFonts w:ascii="Tahoma" w:hAnsi="Tahoma" w:cs="Tahoma"/>
          <w:bCs/>
          <w:sz w:val="20"/>
          <w:szCs w:val="20"/>
        </w:rPr>
        <w:t>σε έξι</w:t>
      </w:r>
      <w:r>
        <w:rPr>
          <w:rFonts w:ascii="Tahoma" w:hAnsi="Tahoma" w:cs="Tahoma"/>
          <w:b/>
          <w:bCs/>
          <w:sz w:val="20"/>
          <w:szCs w:val="20"/>
        </w:rPr>
        <w:t xml:space="preserve"> (6) εξεταστικές περιόδους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en-US"/>
        </w:rPr>
        <w:t>sitti</w:t>
      </w:r>
      <w:r>
        <w:rPr>
          <w:rFonts w:ascii="Tahoma" w:hAnsi="Tahoma" w:cs="Tahoma"/>
          <w:sz w:val="20"/>
          <w:szCs w:val="20"/>
          <w:lang w:val="en-US"/>
        </w:rPr>
        <w:t>ngs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sz w:val="20"/>
          <w:szCs w:val="20"/>
        </w:rPr>
        <w:t xml:space="preserve">(τα 6 </w:t>
      </w:r>
      <w:r>
        <w:rPr>
          <w:rFonts w:ascii="Tahoma" w:hAnsi="Tahoma" w:cs="Tahoma"/>
          <w:b/>
          <w:bCs/>
          <w:sz w:val="20"/>
          <w:szCs w:val="20"/>
          <w:lang w:val="en-US"/>
        </w:rPr>
        <w:t>sitting</w:t>
      </w:r>
      <w:r>
        <w:rPr>
          <w:rFonts w:ascii="Tahoma" w:hAnsi="Tahoma" w:cs="Tahoma"/>
          <w:b/>
          <w:bCs/>
          <w:sz w:val="20"/>
          <w:szCs w:val="20"/>
        </w:rPr>
        <w:t xml:space="preserve"> αφορούν όσους αρχίζουν την εξέτασή τους από την εξεταστική Ιουλίου 2013 και εφεξής) </w:t>
      </w:r>
      <w:r>
        <w:rPr>
          <w:rFonts w:ascii="Tahoma" w:hAnsi="Tahoma" w:cs="Tahoma"/>
          <w:sz w:val="20"/>
          <w:szCs w:val="20"/>
        </w:rPr>
        <w:t xml:space="preserve">και μέσα σε συνολικό χρονικό διάστημα </w:t>
      </w:r>
      <w:r>
        <w:rPr>
          <w:rFonts w:ascii="Tahoma" w:hAnsi="Tahoma" w:cs="Tahoma"/>
          <w:b/>
          <w:bCs/>
          <w:sz w:val="20"/>
          <w:szCs w:val="20"/>
        </w:rPr>
        <w:t xml:space="preserve">δέκα οκτώ (18) μηνών </w:t>
      </w:r>
      <w:r>
        <w:rPr>
          <w:rFonts w:ascii="Tahoma" w:hAnsi="Tahoma" w:cs="Tahoma"/>
          <w:sz w:val="20"/>
          <w:szCs w:val="20"/>
        </w:rPr>
        <w:t>(Το 18μηνο υπολογίζεται από το τέλος του ημερολογιακού μήνα κατά το οποίο ο υποψήφιος εξετάσθη</w:t>
      </w:r>
      <w:r>
        <w:rPr>
          <w:rFonts w:ascii="Tahoma" w:hAnsi="Tahoma" w:cs="Tahoma"/>
          <w:sz w:val="20"/>
          <w:szCs w:val="20"/>
        </w:rPr>
        <w:t xml:space="preserve">κε για πρώτη φορά). Ο υποψήφιος έχει  δικαίωμα να εξετασθεί σε κάθε γνωστικό αντικείμενο </w:t>
      </w:r>
      <w:r>
        <w:rPr>
          <w:rFonts w:ascii="Tahoma" w:hAnsi="Tahoma" w:cs="Tahoma"/>
          <w:b/>
          <w:bCs/>
          <w:sz w:val="20"/>
          <w:szCs w:val="20"/>
        </w:rPr>
        <w:t>μέχρι τέσσερις (4) φορές.</w:t>
      </w:r>
    </w:p>
    <w:p w:rsidR="00000000" w:rsidRDefault="00B97FDD">
      <w:p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Ο υποψήφιος πρέπει να εξετασθεί </w:t>
      </w:r>
      <w:r>
        <w:rPr>
          <w:rFonts w:ascii="Tahoma" w:hAnsi="Tahoma" w:cs="Tahoma"/>
          <w:b/>
          <w:bCs/>
          <w:sz w:val="20"/>
          <w:szCs w:val="20"/>
        </w:rPr>
        <w:t>από την αρχή σε όλα (εννέα-9) τα γνωστικά αντικείμενα</w:t>
      </w:r>
      <w:r>
        <w:rPr>
          <w:rFonts w:ascii="Tahoma" w:hAnsi="Tahoma" w:cs="Tahoma"/>
          <w:bCs/>
          <w:sz w:val="20"/>
          <w:szCs w:val="20"/>
        </w:rPr>
        <w:t xml:space="preserve"> εάν:</w:t>
      </w:r>
    </w:p>
    <w:p w:rsidR="00000000" w:rsidRDefault="00B97FDD">
      <w:pPr>
        <w:numPr>
          <w:ilvl w:val="0"/>
          <w:numId w:val="5"/>
        </w:numPr>
        <w:tabs>
          <w:tab w:val="num" w:pos="180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Έχει αποτύχει στο ίδιο γνωστικό αντικείμενο τέσσ</w:t>
      </w:r>
      <w:r>
        <w:rPr>
          <w:rFonts w:ascii="Tahoma" w:hAnsi="Tahoma" w:cs="Tahoma"/>
          <w:bCs/>
          <w:sz w:val="20"/>
          <w:szCs w:val="20"/>
        </w:rPr>
        <w:t xml:space="preserve">ερις φορές, ήτοι μία αρχική και τρεις επανεξετάσεις </w:t>
      </w:r>
      <w:r>
        <w:rPr>
          <w:rFonts w:ascii="Tahoma" w:hAnsi="Tahoma" w:cs="Tahoma"/>
          <w:b/>
          <w:bCs/>
          <w:sz w:val="20"/>
          <w:szCs w:val="20"/>
        </w:rPr>
        <w:t>ή</w:t>
      </w:r>
    </w:p>
    <w:p w:rsidR="00000000" w:rsidRDefault="00B97FDD">
      <w:pPr>
        <w:numPr>
          <w:ilvl w:val="0"/>
          <w:numId w:val="5"/>
        </w:numPr>
        <w:tabs>
          <w:tab w:val="num" w:pos="180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Δεν επέτυχε σε όλα τα (εννέα-9)  γνωστικά αντικείμενα εντός δέκα οκτώ</w:t>
      </w:r>
      <w:r>
        <w:rPr>
          <w:rFonts w:ascii="Tahoma" w:hAnsi="Tahoma" w:cs="Tahoma"/>
          <w:b/>
          <w:bCs/>
          <w:sz w:val="20"/>
          <w:szCs w:val="20"/>
        </w:rPr>
        <w:t>(18)</w:t>
      </w:r>
      <w:r>
        <w:rPr>
          <w:rFonts w:ascii="Tahoma" w:hAnsi="Tahoma" w:cs="Tahoma"/>
          <w:bCs/>
          <w:sz w:val="20"/>
          <w:szCs w:val="20"/>
        </w:rPr>
        <w:t xml:space="preserve"> μηνών </w:t>
      </w:r>
      <w:r>
        <w:rPr>
          <w:rFonts w:ascii="Tahoma" w:hAnsi="Tahoma" w:cs="Tahoma"/>
          <w:b/>
          <w:bCs/>
          <w:sz w:val="20"/>
          <w:szCs w:val="20"/>
        </w:rPr>
        <w:t>ή</w:t>
      </w:r>
    </w:p>
    <w:p w:rsidR="00000000" w:rsidRDefault="00B97FDD">
      <w:pPr>
        <w:numPr>
          <w:ilvl w:val="0"/>
          <w:numId w:val="5"/>
        </w:numPr>
        <w:tabs>
          <w:tab w:val="num" w:pos="180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Δεν επέτυχε σε όλα τα (εννέα-9) γνωστικά αντικείμενα σε έξι</w:t>
      </w:r>
      <w:r>
        <w:rPr>
          <w:rFonts w:ascii="Tahoma" w:hAnsi="Tahoma" w:cs="Tahoma"/>
          <w:b/>
          <w:bCs/>
          <w:sz w:val="20"/>
          <w:szCs w:val="20"/>
        </w:rPr>
        <w:t xml:space="preserve"> (6) εξεταστικές περιόδους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lang w:val="en-US"/>
        </w:rPr>
        <w:t>sittings</w:t>
      </w:r>
      <w:r>
        <w:rPr>
          <w:rFonts w:ascii="Tahoma" w:hAnsi="Tahoma" w:cs="Tahoma"/>
          <w:sz w:val="20"/>
          <w:szCs w:val="20"/>
        </w:rPr>
        <w:t>). Η απαίτηση αυτή έχει ε</w:t>
      </w:r>
      <w:r>
        <w:rPr>
          <w:rFonts w:ascii="Tahoma" w:hAnsi="Tahoma" w:cs="Tahoma"/>
          <w:sz w:val="20"/>
          <w:szCs w:val="20"/>
        </w:rPr>
        <w:t xml:space="preserve">φαρμογή σε όσους </w:t>
      </w:r>
      <w:r>
        <w:rPr>
          <w:rFonts w:ascii="Tahoma" w:hAnsi="Tahoma" w:cs="Tahoma"/>
          <w:b/>
          <w:bCs/>
          <w:sz w:val="20"/>
          <w:szCs w:val="20"/>
        </w:rPr>
        <w:t>αρχίζουν</w:t>
      </w:r>
      <w:r>
        <w:rPr>
          <w:rFonts w:ascii="Tahoma" w:hAnsi="Tahoma" w:cs="Tahoma"/>
          <w:sz w:val="20"/>
          <w:szCs w:val="20"/>
        </w:rPr>
        <w:t xml:space="preserve"> την εξέτασή τους από Ιούλιο 2013 και εφεξής.</w:t>
      </w:r>
    </w:p>
    <w:p w:rsidR="00000000" w:rsidRDefault="00B97FDD">
      <w:p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 </w:t>
      </w:r>
    </w:p>
    <w:p w:rsidR="00000000" w:rsidRDefault="00B97FDD">
      <w:p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Βάση επιτυχίας (για τα εννέα γνωστικά αντικείμενα) είναι τουλάχιστον </w:t>
      </w:r>
      <w:r>
        <w:rPr>
          <w:rFonts w:ascii="Tahoma" w:hAnsi="Tahoma" w:cs="Tahoma"/>
          <w:b/>
          <w:bCs/>
          <w:sz w:val="20"/>
          <w:szCs w:val="20"/>
        </w:rPr>
        <w:t>75%</w:t>
      </w:r>
      <w:r>
        <w:rPr>
          <w:rFonts w:ascii="Tahoma" w:hAnsi="Tahoma" w:cs="Tahoma"/>
          <w:bCs/>
          <w:sz w:val="20"/>
          <w:szCs w:val="20"/>
        </w:rPr>
        <w:t xml:space="preserve"> με άριστα </w:t>
      </w:r>
      <w:r>
        <w:rPr>
          <w:rFonts w:ascii="Tahoma" w:hAnsi="Tahoma" w:cs="Tahoma"/>
          <w:b/>
          <w:bCs/>
          <w:sz w:val="20"/>
          <w:szCs w:val="20"/>
        </w:rPr>
        <w:t>100%</w:t>
      </w:r>
      <w:r>
        <w:rPr>
          <w:rFonts w:ascii="Tahoma" w:hAnsi="Tahoma" w:cs="Tahoma"/>
          <w:bCs/>
          <w:sz w:val="20"/>
          <w:szCs w:val="20"/>
        </w:rPr>
        <w:t>.</w:t>
      </w: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0"/>
        </w:rPr>
      </w:pP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 xml:space="preserve">Γ. </w:t>
      </w:r>
      <w:r>
        <w:rPr>
          <w:rFonts w:ascii="Tahoma" w:hAnsi="Tahoma" w:cs="Tahoma"/>
          <w:bCs/>
          <w:sz w:val="20"/>
          <w:szCs w:val="20"/>
        </w:rPr>
        <w:t>Η Σχολή ανακοινώνει πρόγραμμα εξετάσεων πριν από κάθε εξεταστική περίοδο.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Οι ώρες των εξετ</w:t>
      </w:r>
      <w:r>
        <w:rPr>
          <w:rFonts w:ascii="Tahoma" w:hAnsi="Tahoma" w:cs="Tahoma"/>
          <w:bCs/>
          <w:sz w:val="20"/>
          <w:szCs w:val="20"/>
        </w:rPr>
        <w:t>άσεων καθορίζονται κατά περίπτωση από τη Σχολή.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Ο εξεταζόμενος έχει δικαίωμα να φέρει κατά την εξέταση: χάρτες, αεροναυτικό μηχανικό αναγωγέα, αριθμομηχανή, η οποία δεν είναι προγραμματιζόμενη και δεν περιέχει αλφαριθμητικούς χαρακτήρες, καθώς και όλα τα α</w:t>
      </w:r>
      <w:r>
        <w:rPr>
          <w:rFonts w:ascii="Tahoma" w:hAnsi="Tahoma" w:cs="Tahoma"/>
          <w:bCs/>
          <w:sz w:val="20"/>
          <w:szCs w:val="20"/>
        </w:rPr>
        <w:t>παραίτητα όργανα σχεδιασμού και υπολογισμού, όπως μοιρογνωμόνιο, διαβήτη κ.λ.π., αρκεί σε αυτά να μην αναγράφεται οποιοδήποτε τυπολόγιο.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Οι υποψήφιοι πρέπει να φέρουν μαζί τους την αστυνομική τους ταυτότητα ή το διαβατήριό τους.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Εάν ο υποψήφιος προσέλθει σ</w:t>
      </w:r>
      <w:r>
        <w:rPr>
          <w:rFonts w:ascii="Tahoma" w:hAnsi="Tahoma" w:cs="Tahoma"/>
          <w:bCs/>
          <w:sz w:val="20"/>
          <w:szCs w:val="20"/>
        </w:rPr>
        <w:t>την εξέταση καθυστερημένα ή δεν έχει μαζί του ταυτότητα ή  διαβατήριο, δεν μπορεί πλέον να συμμετάσχει σε αυτή.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Απαγορεύεται στους υποψηφίους να εισέρχονται </w:t>
      </w:r>
      <w:r>
        <w:rPr>
          <w:rFonts w:ascii="Tahoma" w:hAnsi="Tahoma" w:cs="Tahoma"/>
          <w:sz w:val="20"/>
          <w:szCs w:val="20"/>
        </w:rPr>
        <w:t>στην</w:t>
      </w:r>
      <w:r>
        <w:rPr>
          <w:rFonts w:ascii="Tahoma" w:hAnsi="Tahoma" w:cs="Tahoma"/>
          <w:bCs/>
          <w:sz w:val="20"/>
          <w:szCs w:val="20"/>
        </w:rPr>
        <w:t xml:space="preserve"> αίθουσα εξετάσεων έχοντας μαζί τους βιβλία ή σημειώσεις, κινητά τηλέφωνα ή άλλου είδους ηλεκτρ</w:t>
      </w:r>
      <w:r>
        <w:rPr>
          <w:rFonts w:ascii="Tahoma" w:hAnsi="Tahoma" w:cs="Tahoma"/>
          <w:bCs/>
          <w:sz w:val="20"/>
          <w:szCs w:val="20"/>
        </w:rPr>
        <w:t xml:space="preserve">ονική συσκευή, ακόμη και απενεργοποιημένη. 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Αν η αρμόδια αρχή διαπιστώσει ότι ο υποψήφιος δεν συμμορφώνεται με τις διαδικασίες των εξετάσεων κατά την διάρκειά τους, το συγκεκριμένο γεγονός θα αξιολογηθεί με την προοπτική να απορριφθεί ο υποψήφιος, είτε σε </w:t>
      </w:r>
      <w:r>
        <w:rPr>
          <w:rFonts w:ascii="Tahoma" w:hAnsi="Tahoma" w:cs="Tahoma"/>
          <w:bCs/>
          <w:color w:val="000000"/>
          <w:sz w:val="20"/>
          <w:szCs w:val="20"/>
        </w:rPr>
        <w:t>ένα μόνο γνωστικό αντικείμενο είτε στο σύνολο της εξέτασης.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Η αρμόδια αρχή αποκλείει τους υποψηφίους που αποδεδειγμένα αντιγράφουν από το να δώσουν περαιτέρω εξετάσεις για περίοδο τουλάχιστον 12 μηνών από την ημερομηνία της εξέτασης κατά την οποία συνελήφθ</w:t>
      </w:r>
      <w:r>
        <w:rPr>
          <w:rFonts w:ascii="Tahoma" w:hAnsi="Tahoma" w:cs="Tahoma"/>
          <w:bCs/>
          <w:color w:val="000000"/>
          <w:sz w:val="20"/>
          <w:szCs w:val="20"/>
        </w:rPr>
        <w:t>ησαν να αντιγράφουν.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Η επικοινωνία με τη Σχολή για την οριστικοποίηση της συμμετοχής, για αρχική εξέταση ή επανεξέταση, με την υποβολή της σχετικής Δήλωσης Συμμετοχής,  γίνεται είτε με </w:t>
      </w:r>
      <w:r>
        <w:rPr>
          <w:rFonts w:ascii="Tahoma" w:hAnsi="Tahoma" w:cs="Tahoma"/>
          <w:bCs/>
          <w:sz w:val="20"/>
          <w:szCs w:val="20"/>
          <w:lang w:val="en-US"/>
        </w:rPr>
        <w:t>Fax</w:t>
      </w:r>
      <w:r>
        <w:rPr>
          <w:rFonts w:ascii="Tahoma" w:hAnsi="Tahoma" w:cs="Tahoma"/>
          <w:bCs/>
          <w:sz w:val="20"/>
          <w:szCs w:val="20"/>
        </w:rPr>
        <w:t xml:space="preserve">  είτε με </w:t>
      </w:r>
      <w:r>
        <w:rPr>
          <w:rFonts w:ascii="Tahoma" w:hAnsi="Tahoma" w:cs="Tahoma"/>
          <w:bCs/>
          <w:sz w:val="20"/>
          <w:szCs w:val="20"/>
          <w:lang w:val="en-US"/>
        </w:rPr>
        <w:t>e</w:t>
      </w:r>
      <w:r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  <w:lang w:val="en-US"/>
        </w:rPr>
        <w:t>mail</w:t>
      </w:r>
      <w:r>
        <w:rPr>
          <w:rFonts w:ascii="Tahoma" w:hAnsi="Tahoma" w:cs="Tahoma"/>
          <w:bCs/>
          <w:sz w:val="20"/>
          <w:szCs w:val="20"/>
        </w:rPr>
        <w:t xml:space="preserve"> τουλάχιστον </w:t>
      </w:r>
      <w:r>
        <w:rPr>
          <w:rFonts w:ascii="Tahoma" w:hAnsi="Tahoma" w:cs="Tahoma"/>
          <w:b/>
          <w:bCs/>
          <w:sz w:val="20"/>
          <w:szCs w:val="20"/>
        </w:rPr>
        <w:t>πέντε(5)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εργάσιμες</w:t>
      </w:r>
      <w:r>
        <w:rPr>
          <w:rFonts w:ascii="Tahoma" w:hAnsi="Tahoma" w:cs="Tahoma"/>
          <w:bCs/>
          <w:sz w:val="20"/>
          <w:szCs w:val="20"/>
        </w:rPr>
        <w:t xml:space="preserve"> ημέρες πριν την ημέρ</w:t>
      </w:r>
      <w:r>
        <w:rPr>
          <w:rFonts w:ascii="Tahoma" w:hAnsi="Tahoma" w:cs="Tahoma"/>
          <w:bCs/>
          <w:sz w:val="20"/>
          <w:szCs w:val="20"/>
        </w:rPr>
        <w:t>α των εξετάσεων. Τα παράβολα αρχικής εξέτασης υποβάλλονται στην Διεύθυνση Πτητικών Προτύπων(Δ2) κατά την κατάθεση των απαιτούμενων δικαιολογητικών, ενώ τα παράβολα επανεξέτασης, κατατίθενται στη Σχολή μαζί με τη Δήλωση Συμμετοχής.</w:t>
      </w:r>
    </w:p>
    <w:p w:rsidR="00000000" w:rsidRDefault="00B97FDD">
      <w:pPr>
        <w:overflowPunct w:val="0"/>
        <w:autoSpaceDE w:val="0"/>
        <w:autoSpaceDN w:val="0"/>
        <w:adjustRightInd w:val="0"/>
        <w:ind w:firstLine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Η Σχολή διατηρεί το δικαί</w:t>
      </w:r>
      <w:r>
        <w:rPr>
          <w:rFonts w:ascii="Tahoma" w:hAnsi="Tahoma" w:cs="Tahoma"/>
          <w:bCs/>
          <w:sz w:val="20"/>
          <w:szCs w:val="20"/>
        </w:rPr>
        <w:t>ωμα τροποποίησης των εξεταστικών περιόδων και του προγράμματος των εξετάσεων, λόγω υπηρεσιακών αναγκών, αργιών ή άλλων έκτακτων και απρόβλεπτων καταστάσεων.</w:t>
      </w:r>
    </w:p>
    <w:p w:rsidR="00000000" w:rsidRDefault="00B97F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 </w:t>
      </w:r>
      <w:r>
        <w:rPr>
          <w:rFonts w:ascii="Tahoma" w:hAnsi="Tahoma" w:cs="Tahoma"/>
          <w:bCs/>
          <w:sz w:val="20"/>
          <w:szCs w:val="20"/>
        </w:rPr>
        <w:t>Οποιαδήποτε προηγούμενη απόφαση επί του ιδίου θέματος καταργείται.</w:t>
      </w:r>
    </w:p>
    <w:p w:rsidR="00B97FDD" w:rsidRDefault="00B97FDD">
      <w:pPr>
        <w:overflowPunct w:val="0"/>
        <w:autoSpaceDE w:val="0"/>
        <w:autoSpaceDN w:val="0"/>
        <w:adjustRightInd w:val="0"/>
      </w:pPr>
      <w:r>
        <w:t> </w:t>
      </w:r>
    </w:p>
    <w:sectPr w:rsidR="00B97FD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DD" w:rsidRDefault="00B97FDD">
      <w:r>
        <w:separator/>
      </w:r>
    </w:p>
  </w:endnote>
  <w:endnote w:type="continuationSeparator" w:id="0">
    <w:p w:rsidR="00B97FDD" w:rsidRDefault="00B9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97F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E33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97FDD">
    <w:pPr>
      <w:pStyle w:val="a3"/>
    </w:pPr>
    <w:r>
      <w:rPr>
        <w:lang w:val="en-US"/>
      </w:rPr>
      <w:t xml:space="preserve">    </w:t>
    </w:r>
    <w:r>
      <w:rPr>
        <w:lang w:val="en-US"/>
      </w:rPr>
      <w:t xml:space="preserve">                                                                     </w:t>
    </w:r>
    <w:r>
      <w:t>σελ         από 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DD" w:rsidRDefault="00B97FDD">
      <w:r>
        <w:separator/>
      </w:r>
    </w:p>
  </w:footnote>
  <w:footnote w:type="continuationSeparator" w:id="0">
    <w:p w:rsidR="00B97FDD" w:rsidRDefault="00B9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18A"/>
    <w:multiLevelType w:val="singleLevel"/>
    <w:tmpl w:val="2C424D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204942DB"/>
    <w:multiLevelType w:val="hybridMultilevel"/>
    <w:tmpl w:val="D18A39EA"/>
    <w:lvl w:ilvl="0" w:tplc="81D4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33813"/>
    <w:multiLevelType w:val="hybridMultilevel"/>
    <w:tmpl w:val="F9B679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3A09D8">
      <w:start w:val="3"/>
      <w:numFmt w:val="upperRoman"/>
      <w:lvlText w:val="%3)"/>
      <w:lvlJc w:val="left"/>
      <w:pPr>
        <w:tabs>
          <w:tab w:val="num" w:pos="3060"/>
        </w:tabs>
        <w:ind w:left="3060" w:hanging="720"/>
      </w:pPr>
      <w:rPr>
        <w:b w:val="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4F2F"/>
    <w:multiLevelType w:val="hybridMultilevel"/>
    <w:tmpl w:val="6860A500"/>
    <w:lvl w:ilvl="0" w:tplc="0408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E33"/>
    <w:rsid w:val="00A62E33"/>
    <w:rsid w:val="00B9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ind w:firstLine="284"/>
      <w:jc w:val="both"/>
    </w:pPr>
    <w:rPr>
      <w:rFonts w:ascii="Arial" w:hAnsi="Arial"/>
      <w:bCs/>
      <w:sz w:val="20"/>
      <w:szCs w:val="20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ypa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sbarkis</dc:creator>
  <cp:lastModifiedBy>vlioliou</cp:lastModifiedBy>
  <cp:revision>2</cp:revision>
  <cp:lastPrinted>2015-02-02T11:36:00Z</cp:lastPrinted>
  <dcterms:created xsi:type="dcterms:W3CDTF">2015-02-16T09:43:00Z</dcterms:created>
  <dcterms:modified xsi:type="dcterms:W3CDTF">2015-02-16T09:43:00Z</dcterms:modified>
</cp:coreProperties>
</file>